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BDB98" w14:textId="1453F844" w:rsidR="00F8746D" w:rsidRDefault="00BE3BAF">
      <w:pPr>
        <w:spacing w:after="0" w:line="240" w:lineRule="auto"/>
        <w:ind w:left="3828"/>
        <w:jc w:val="both"/>
        <w:rPr>
          <w:rFonts w:ascii="Times New Roman" w:hAnsi="Times New Roman" w:cs="Times New Roman"/>
        </w:rPr>
      </w:pPr>
      <w:r>
        <w:rPr>
          <w:rFonts w:ascii="Times New Roman" w:hAnsi="Times New Roman" w:cs="Times New Roman"/>
          <w:b/>
          <w:bCs/>
        </w:rPr>
        <w:t>ATO DA PRESIDÊNCIA Nº 1</w:t>
      </w:r>
      <w:r w:rsidR="00F866C2">
        <w:rPr>
          <w:rFonts w:ascii="Times New Roman" w:hAnsi="Times New Roman" w:cs="Times New Roman"/>
          <w:b/>
          <w:bCs/>
        </w:rPr>
        <w:t>4</w:t>
      </w:r>
      <w:r>
        <w:rPr>
          <w:rFonts w:ascii="Times New Roman" w:hAnsi="Times New Roman" w:cs="Times New Roman"/>
          <w:b/>
          <w:bCs/>
        </w:rPr>
        <w:t xml:space="preserve">, DE </w:t>
      </w:r>
      <w:r w:rsidR="00F866C2">
        <w:rPr>
          <w:rFonts w:ascii="Times New Roman" w:hAnsi="Times New Roman" w:cs="Times New Roman"/>
          <w:b/>
          <w:bCs/>
        </w:rPr>
        <w:t>06</w:t>
      </w:r>
      <w:r>
        <w:rPr>
          <w:rFonts w:ascii="Times New Roman" w:hAnsi="Times New Roman" w:cs="Times New Roman"/>
          <w:b/>
          <w:bCs/>
        </w:rPr>
        <w:t xml:space="preserve"> DE </w:t>
      </w:r>
      <w:r w:rsidR="00F866C2">
        <w:rPr>
          <w:rFonts w:ascii="Times New Roman" w:hAnsi="Times New Roman" w:cs="Times New Roman"/>
          <w:b/>
          <w:bCs/>
        </w:rPr>
        <w:t xml:space="preserve">NOVEMBRO </w:t>
      </w:r>
      <w:r>
        <w:rPr>
          <w:rFonts w:ascii="Times New Roman" w:hAnsi="Times New Roman" w:cs="Times New Roman"/>
          <w:b/>
          <w:bCs/>
        </w:rPr>
        <w:t>DE 2026.</w:t>
      </w:r>
    </w:p>
    <w:p w14:paraId="6474403E" w14:textId="77777777" w:rsidR="00F8746D" w:rsidRDefault="00F8746D">
      <w:pPr>
        <w:spacing w:after="0" w:line="240" w:lineRule="auto"/>
        <w:ind w:left="3828"/>
        <w:jc w:val="both"/>
        <w:rPr>
          <w:rFonts w:ascii="Times New Roman" w:hAnsi="Times New Roman" w:cs="Times New Roman"/>
        </w:rPr>
      </w:pPr>
    </w:p>
    <w:p w14:paraId="5AD1652F" w14:textId="77777777" w:rsidR="00F8746D" w:rsidRDefault="00BE3BAF">
      <w:pPr>
        <w:spacing w:after="0" w:line="240" w:lineRule="auto"/>
        <w:ind w:left="3828"/>
        <w:jc w:val="both"/>
        <w:rPr>
          <w:rFonts w:ascii="Times New Roman" w:hAnsi="Times New Roman" w:cs="Times New Roman"/>
        </w:rPr>
      </w:pPr>
      <w:r>
        <w:rPr>
          <w:rFonts w:ascii="Times New Roman" w:hAnsi="Times New Roman" w:cs="Times New Roman"/>
          <w:b/>
          <w:bCs/>
        </w:rPr>
        <w:t>“DISCIPLINA A AUTORIZAÇÃO E O PROCESSAMENTO DOS PAGAMENTOS DA CÂMARA MUNICIPAL DE APARECIDA DO TABOADO/MS, DECLARA A COMPETÊNCIA DO PRESIDENTE COMO ORDENADOR DE DESPESAS E ESTABELECE PROVIDÊNCIAS ADMINISTRATIVAS.”</w:t>
      </w:r>
    </w:p>
    <w:p w14:paraId="2E23B409" w14:textId="77777777" w:rsidR="00F8746D" w:rsidRDefault="00F8746D">
      <w:pPr>
        <w:spacing w:after="0" w:line="240" w:lineRule="auto"/>
        <w:ind w:left="3828"/>
        <w:jc w:val="both"/>
        <w:rPr>
          <w:rFonts w:ascii="Times New Roman" w:hAnsi="Times New Roman" w:cs="Times New Roman"/>
        </w:rPr>
      </w:pPr>
    </w:p>
    <w:p w14:paraId="2ABE8FB1" w14:textId="77777777" w:rsidR="00F8746D" w:rsidRDefault="00BE3BAF">
      <w:pPr>
        <w:spacing w:after="0" w:line="240" w:lineRule="auto"/>
        <w:ind w:left="3828"/>
        <w:jc w:val="both"/>
        <w:rPr>
          <w:rFonts w:ascii="Times New Roman" w:hAnsi="Times New Roman" w:cs="Times New Roman"/>
        </w:rPr>
      </w:pPr>
      <w:r>
        <w:rPr>
          <w:rFonts w:ascii="Times New Roman" w:hAnsi="Times New Roman" w:cs="Times New Roman"/>
          <w:b/>
          <w:bCs/>
        </w:rPr>
        <w:t>HEBERSON GALTER CUSTÓDIO</w:t>
      </w:r>
      <w:r>
        <w:rPr>
          <w:rFonts w:ascii="Times New Roman" w:hAnsi="Times New Roman" w:cs="Times New Roman"/>
        </w:rPr>
        <w:t>, Presidente da Câmara Municipal de Aparecida do Taboado, Estado de Mato Grosso do Sul, no uso das atribuições que lhe conferem o art. 24, § 2º, da Lei Orgânica do Município de Aparecida do Taboado e os arts. 18, caput e inciso IV, alínea “b”, 19, inciso I, alíneas “a” e “c”, 223 e 226 do Regimento Interno da Câmara Municipal,</w:t>
      </w:r>
    </w:p>
    <w:p w14:paraId="6B9B4BA5" w14:textId="77777777" w:rsidR="00F8746D" w:rsidRDefault="00F8746D">
      <w:pPr>
        <w:spacing w:after="0" w:line="240" w:lineRule="auto"/>
        <w:ind w:left="3828"/>
        <w:jc w:val="both"/>
        <w:rPr>
          <w:rFonts w:ascii="Times New Roman" w:hAnsi="Times New Roman" w:cs="Times New Roman"/>
        </w:rPr>
      </w:pPr>
    </w:p>
    <w:p w14:paraId="3FB1EAAF"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 xml:space="preserve">Considerando </w:t>
      </w:r>
      <w:r>
        <w:rPr>
          <w:rFonts w:ascii="Times New Roman" w:hAnsi="Times New Roman" w:cs="Times New Roman"/>
        </w:rPr>
        <w:t>os princípios da legalidade, impessoalidade, moralidade, publicidade e eficiência, previstos no art. 37 da Constituição Federal, que orientam a organização dos serviços administrativos e a gestão dos recursos públicos;</w:t>
      </w:r>
    </w:p>
    <w:p w14:paraId="27850B3A" w14:textId="77777777" w:rsidR="00F8746D" w:rsidRDefault="00F8746D">
      <w:pPr>
        <w:spacing w:after="0" w:line="240" w:lineRule="auto"/>
        <w:ind w:firstLine="709"/>
        <w:jc w:val="both"/>
        <w:rPr>
          <w:rFonts w:ascii="Times New Roman" w:hAnsi="Times New Roman" w:cs="Times New Roman"/>
        </w:rPr>
      </w:pPr>
    </w:p>
    <w:p w14:paraId="360C66C5"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 xml:space="preserve">Considerando </w:t>
      </w:r>
      <w:r>
        <w:rPr>
          <w:rFonts w:ascii="Times New Roman" w:hAnsi="Times New Roman" w:cs="Times New Roman"/>
        </w:rPr>
        <w:t>que o art. 24, § 2º, da Lei Orgânica do Município remete ao Regimento Interno a definição das competências e das atribuições dos membros da Mesa;</w:t>
      </w:r>
    </w:p>
    <w:p w14:paraId="14CF5DF9" w14:textId="77777777" w:rsidR="00F8746D" w:rsidRDefault="00F8746D">
      <w:pPr>
        <w:spacing w:after="0" w:line="240" w:lineRule="auto"/>
        <w:ind w:firstLine="709"/>
        <w:jc w:val="both"/>
        <w:rPr>
          <w:rFonts w:ascii="Times New Roman" w:hAnsi="Times New Roman" w:cs="Times New Roman"/>
        </w:rPr>
      </w:pPr>
    </w:p>
    <w:p w14:paraId="7254DB17"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 xml:space="preserve">Considerando </w:t>
      </w:r>
      <w:r>
        <w:rPr>
          <w:rFonts w:ascii="Times New Roman" w:hAnsi="Times New Roman" w:cs="Times New Roman"/>
        </w:rPr>
        <w:t>que o art. 18 do Regimento Interno atribui ao Presidente as funções administrativas e diretivas das atividades internas da Câmara e, em seu inciso IV, alínea “b”, a competência privativa para superintender o serviço da secretaria e autorizar, nos limites do orçamento, as suas despesas;</w:t>
      </w:r>
    </w:p>
    <w:p w14:paraId="3C66060E" w14:textId="77777777" w:rsidR="00F8746D" w:rsidRDefault="00F8746D">
      <w:pPr>
        <w:spacing w:after="0" w:line="240" w:lineRule="auto"/>
        <w:ind w:firstLine="709"/>
        <w:jc w:val="both"/>
        <w:rPr>
          <w:rFonts w:ascii="Times New Roman" w:hAnsi="Times New Roman" w:cs="Times New Roman"/>
        </w:rPr>
      </w:pPr>
    </w:p>
    <w:p w14:paraId="310314F0"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 xml:space="preserve">Considerando </w:t>
      </w:r>
      <w:r>
        <w:rPr>
          <w:rFonts w:ascii="Times New Roman" w:hAnsi="Times New Roman" w:cs="Times New Roman"/>
        </w:rPr>
        <w:t>que, nos termos do art. 223 do Regimento Interno, os serviços da Secretaria Administrativa são dirigidos e disciplinados pela Presidência, que poderá contar com o auxílio dos Secretários, e que, nos termos do art. 226, os processos são organizados conforme ato baixado pela Presidência;</w:t>
      </w:r>
    </w:p>
    <w:p w14:paraId="5E470A76" w14:textId="77777777" w:rsidR="00F8746D" w:rsidRDefault="00F8746D">
      <w:pPr>
        <w:spacing w:after="0" w:line="240" w:lineRule="auto"/>
        <w:ind w:firstLine="709"/>
        <w:jc w:val="both"/>
        <w:rPr>
          <w:rFonts w:ascii="Times New Roman" w:hAnsi="Times New Roman" w:cs="Times New Roman"/>
        </w:rPr>
      </w:pPr>
    </w:p>
    <w:p w14:paraId="66693173"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 xml:space="preserve">Considerando </w:t>
      </w:r>
      <w:r>
        <w:rPr>
          <w:rFonts w:ascii="Times New Roman" w:hAnsi="Times New Roman" w:cs="Times New Roman"/>
        </w:rPr>
        <w:t>que o art. 19, inciso I, alíneas “a” e “c”, do Regimento Interno reserva a forma de ato numerado à regulamentação dos serviços administrativos e aos assuntos de caráter financeiro;</w:t>
      </w:r>
    </w:p>
    <w:p w14:paraId="6C9AE7C9" w14:textId="77777777" w:rsidR="00F8746D" w:rsidRDefault="00F8746D">
      <w:pPr>
        <w:spacing w:after="0" w:line="240" w:lineRule="auto"/>
        <w:ind w:firstLine="709"/>
        <w:jc w:val="both"/>
        <w:rPr>
          <w:rFonts w:ascii="Times New Roman" w:hAnsi="Times New Roman" w:cs="Times New Roman"/>
        </w:rPr>
      </w:pPr>
    </w:p>
    <w:p w14:paraId="0DBAF026"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 xml:space="preserve">Considerando </w:t>
      </w:r>
      <w:r>
        <w:rPr>
          <w:rFonts w:ascii="Times New Roman" w:hAnsi="Times New Roman" w:cs="Times New Roman"/>
        </w:rPr>
        <w:t>que os arts. 58 a 65 da Lei Federal nº 4.320, de 17 de março de 1964, distinguem as etapas de empenho, liquidação e pagamento da despesa, e que, nos termos do seu art. 64, a ordem de pagamento é o despacho exarado por autoridade competente determinando que a despesa seja paga;</w:t>
      </w:r>
    </w:p>
    <w:p w14:paraId="579BAB75" w14:textId="77777777" w:rsidR="00F8746D" w:rsidRDefault="00F8746D">
      <w:pPr>
        <w:spacing w:after="0" w:line="240" w:lineRule="auto"/>
        <w:ind w:firstLine="709"/>
        <w:jc w:val="both"/>
        <w:rPr>
          <w:rFonts w:ascii="Times New Roman" w:hAnsi="Times New Roman" w:cs="Times New Roman"/>
        </w:rPr>
      </w:pPr>
    </w:p>
    <w:p w14:paraId="0A0D968D"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 xml:space="preserve">Considerando </w:t>
      </w:r>
      <w:r>
        <w:rPr>
          <w:rFonts w:ascii="Times New Roman" w:hAnsi="Times New Roman" w:cs="Times New Roman"/>
        </w:rPr>
        <w:t>que as contas anuais de gestão da Câmara Municipal são julgadas pelo Tribunal de Contas do Estado de Mato Grosso do Sul, nos termos do art. 71, inciso II, combinado com o art. 75 da Constituição Federal, tendo como responsável o ordenador de despesas;</w:t>
      </w:r>
    </w:p>
    <w:p w14:paraId="46555A0B" w14:textId="77777777" w:rsidR="00F8746D" w:rsidRDefault="00F8746D">
      <w:pPr>
        <w:spacing w:after="0" w:line="240" w:lineRule="auto"/>
        <w:ind w:firstLine="709"/>
        <w:jc w:val="both"/>
        <w:rPr>
          <w:rFonts w:ascii="Times New Roman" w:hAnsi="Times New Roman" w:cs="Times New Roman"/>
        </w:rPr>
      </w:pPr>
    </w:p>
    <w:p w14:paraId="536C2206"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 xml:space="preserve">Considerando </w:t>
      </w:r>
      <w:r>
        <w:rPr>
          <w:rFonts w:ascii="Times New Roman" w:hAnsi="Times New Roman" w:cs="Times New Roman"/>
        </w:rPr>
        <w:t>que o art. 20, inciso XI, do Regimento Interno atribui ao Primeiro Secretário a assinatura, juntamente com o Presidente, dos cheques emitidos pela Câmara Municipal, instrumento que não se confunde com a emissão de empenho, a liquidação da despesa ou a ordem de pagamento, e que, quanto aos serviços da secretaria, cabe ao Primeiro Secretário auxiliar a Presidência, nos termos do inciso VIII do mesmo artigo;</w:t>
      </w:r>
    </w:p>
    <w:p w14:paraId="76622BB3" w14:textId="77777777" w:rsidR="00F8746D" w:rsidRDefault="00F8746D">
      <w:pPr>
        <w:spacing w:after="0" w:line="240" w:lineRule="auto"/>
        <w:ind w:firstLine="709"/>
        <w:jc w:val="both"/>
        <w:rPr>
          <w:rFonts w:ascii="Times New Roman" w:hAnsi="Times New Roman" w:cs="Times New Roman"/>
        </w:rPr>
      </w:pPr>
    </w:p>
    <w:p w14:paraId="2F3364F8"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lastRenderedPageBreak/>
        <w:t xml:space="preserve">Considerando </w:t>
      </w:r>
      <w:r>
        <w:rPr>
          <w:rFonts w:ascii="Times New Roman" w:hAnsi="Times New Roman" w:cs="Times New Roman"/>
        </w:rPr>
        <w:t>que a execução financeira da Câmara passou a ser realizada por sistemas eletrônicos e transferências bancárias, o que exige procedimentos compatíveis com esses meios, com identificação dos responsáveis, segurança operacional e rastreabilidade;</w:t>
      </w:r>
    </w:p>
    <w:p w14:paraId="61B54A25" w14:textId="77777777" w:rsidR="00F8746D" w:rsidRDefault="00F8746D">
      <w:pPr>
        <w:spacing w:after="0" w:line="240" w:lineRule="auto"/>
        <w:ind w:firstLine="709"/>
        <w:jc w:val="both"/>
        <w:rPr>
          <w:rFonts w:ascii="Times New Roman" w:hAnsi="Times New Roman" w:cs="Times New Roman"/>
        </w:rPr>
      </w:pPr>
    </w:p>
    <w:p w14:paraId="02EA554C"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 xml:space="preserve">Considerando </w:t>
      </w:r>
      <w:r>
        <w:rPr>
          <w:rFonts w:ascii="Times New Roman" w:hAnsi="Times New Roman" w:cs="Times New Roman"/>
        </w:rPr>
        <w:t>que a atualização do Regimento Interno em andamento permitirá explicitar essas competências e procedimentos, permanecendo sua alteração sujeita ao processo regimental próprio;</w:t>
      </w:r>
    </w:p>
    <w:p w14:paraId="72D6EEA4" w14:textId="77777777" w:rsidR="00F8746D" w:rsidRDefault="00F8746D">
      <w:pPr>
        <w:spacing w:after="0" w:line="240" w:lineRule="auto"/>
        <w:ind w:firstLine="709"/>
        <w:jc w:val="both"/>
        <w:rPr>
          <w:rFonts w:ascii="Times New Roman" w:hAnsi="Times New Roman" w:cs="Times New Roman"/>
        </w:rPr>
      </w:pPr>
    </w:p>
    <w:p w14:paraId="3A8E05F6"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 xml:space="preserve">Considerando </w:t>
      </w:r>
      <w:r>
        <w:rPr>
          <w:rFonts w:ascii="Times New Roman" w:hAnsi="Times New Roman" w:cs="Times New Roman"/>
        </w:rPr>
        <w:t>que a responsabilidade na gestão fiscal, nos termos do art. 1º, § 1º, da Lei Complementar Federal nº 101, de 4 de maio de 2000, pressupõe a ação planejada e transparente, em que se previnem riscos e corrigem desvios capazes de afetar o equilíbrio das contas públicas;</w:t>
      </w:r>
    </w:p>
    <w:p w14:paraId="75878D00" w14:textId="77777777" w:rsidR="00F8746D" w:rsidRDefault="00F8746D">
      <w:pPr>
        <w:spacing w:after="0" w:line="240" w:lineRule="auto"/>
        <w:ind w:firstLine="709"/>
        <w:jc w:val="both"/>
        <w:rPr>
          <w:rFonts w:ascii="Times New Roman" w:hAnsi="Times New Roman" w:cs="Times New Roman"/>
        </w:rPr>
      </w:pPr>
    </w:p>
    <w:p w14:paraId="6C3922A6"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 xml:space="preserve">Considerando </w:t>
      </w:r>
      <w:r>
        <w:rPr>
          <w:rFonts w:ascii="Times New Roman" w:hAnsi="Times New Roman" w:cs="Times New Roman"/>
        </w:rPr>
        <w:t>que o art. 141 da Lei Federal nº 14.133, de 1º de abril de 2021, impõe a observância da ordem cronológica de pagamentos, e que atrasos injustificados podem prejudicar a continuidade dos serviços, comprometer o cumprimento dos contratos e gerar encargos financeiros para o Poder Legislativo;</w:t>
      </w:r>
    </w:p>
    <w:p w14:paraId="66F318A3" w14:textId="77777777" w:rsidR="00F8746D" w:rsidRDefault="00F8746D">
      <w:pPr>
        <w:spacing w:after="0" w:line="240" w:lineRule="auto"/>
        <w:ind w:firstLine="709"/>
        <w:jc w:val="both"/>
        <w:rPr>
          <w:rFonts w:ascii="Times New Roman" w:hAnsi="Times New Roman" w:cs="Times New Roman"/>
        </w:rPr>
      </w:pPr>
    </w:p>
    <w:p w14:paraId="1705196E"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 xml:space="preserve">Considerando </w:t>
      </w:r>
      <w:r>
        <w:rPr>
          <w:rFonts w:ascii="Times New Roman" w:hAnsi="Times New Roman" w:cs="Times New Roman"/>
        </w:rPr>
        <w:t>a necessidade de uniformizar o fluxo interno dos processos de despesa, de modo que obrigações regularmente constituídas não sejam retidas em razão de exigências não previstas em norma;</w:t>
      </w:r>
    </w:p>
    <w:p w14:paraId="39AD603C" w14:textId="77777777" w:rsidR="00F8746D" w:rsidRDefault="00F8746D">
      <w:pPr>
        <w:spacing w:after="0" w:line="240" w:lineRule="auto"/>
        <w:ind w:firstLine="709"/>
        <w:jc w:val="both"/>
        <w:rPr>
          <w:rFonts w:ascii="Times New Roman" w:hAnsi="Times New Roman" w:cs="Times New Roman"/>
        </w:rPr>
      </w:pPr>
    </w:p>
    <w:p w14:paraId="4B51BE61"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 xml:space="preserve">Considerando </w:t>
      </w:r>
      <w:r>
        <w:rPr>
          <w:rFonts w:ascii="Times New Roman" w:hAnsi="Times New Roman" w:cs="Times New Roman"/>
        </w:rPr>
        <w:t>que a competência decisória do ordenador de despesas deve coexistir com a segregação de funções, a fiscalização contratual, os controles contábeis, as conferências da tesouraria e a atuação do sistema de controle interno previsto no art. 39 da Lei Orgânica do Município;</w:t>
      </w:r>
    </w:p>
    <w:p w14:paraId="1A016E40" w14:textId="77777777" w:rsidR="00F8746D" w:rsidRDefault="00F8746D">
      <w:pPr>
        <w:spacing w:after="0" w:line="240" w:lineRule="auto"/>
        <w:ind w:firstLine="709"/>
        <w:jc w:val="both"/>
        <w:rPr>
          <w:rFonts w:ascii="Times New Roman" w:hAnsi="Times New Roman" w:cs="Times New Roman"/>
        </w:rPr>
      </w:pPr>
    </w:p>
    <w:p w14:paraId="43EF4D04" w14:textId="77777777" w:rsidR="00F8746D" w:rsidRDefault="00BE3BAF">
      <w:pPr>
        <w:spacing w:after="0" w:line="240" w:lineRule="auto"/>
        <w:jc w:val="center"/>
        <w:rPr>
          <w:rFonts w:ascii="Times New Roman" w:hAnsi="Times New Roman" w:cs="Times New Roman"/>
        </w:rPr>
      </w:pPr>
      <w:r>
        <w:rPr>
          <w:rFonts w:ascii="Times New Roman" w:hAnsi="Times New Roman" w:cs="Times New Roman"/>
          <w:b/>
          <w:bCs/>
        </w:rPr>
        <w:t>RESOLVE</w:t>
      </w:r>
      <w:r>
        <w:rPr>
          <w:rFonts w:ascii="Times New Roman" w:hAnsi="Times New Roman" w:cs="Times New Roman"/>
        </w:rPr>
        <w:t>:</w:t>
      </w:r>
    </w:p>
    <w:p w14:paraId="4E6A5C08" w14:textId="77777777" w:rsidR="00F8746D" w:rsidRDefault="00F8746D">
      <w:pPr>
        <w:spacing w:after="0" w:line="240" w:lineRule="auto"/>
        <w:jc w:val="center"/>
        <w:rPr>
          <w:rFonts w:ascii="Times New Roman" w:hAnsi="Times New Roman" w:cs="Times New Roman"/>
        </w:rPr>
      </w:pPr>
    </w:p>
    <w:p w14:paraId="615986FB" w14:textId="234FE344"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Art. 1º</w:t>
      </w:r>
      <w:r>
        <w:rPr>
          <w:rFonts w:ascii="Times New Roman" w:hAnsi="Times New Roman" w:cs="Times New Roman"/>
        </w:rPr>
        <w:t xml:space="preserve"> A partir de </w:t>
      </w:r>
      <w:r w:rsidR="004607E0">
        <w:rPr>
          <w:rFonts w:ascii="Times New Roman" w:hAnsi="Times New Roman" w:cs="Times New Roman"/>
        </w:rPr>
        <w:t>09</w:t>
      </w:r>
      <w:r>
        <w:rPr>
          <w:rFonts w:ascii="Times New Roman" w:hAnsi="Times New Roman" w:cs="Times New Roman"/>
        </w:rPr>
        <w:t xml:space="preserve"> de </w:t>
      </w:r>
      <w:r w:rsidR="004607E0">
        <w:rPr>
          <w:rFonts w:ascii="Times New Roman" w:hAnsi="Times New Roman" w:cs="Times New Roman"/>
        </w:rPr>
        <w:t>novembro</w:t>
      </w:r>
      <w:r>
        <w:rPr>
          <w:rFonts w:ascii="Times New Roman" w:hAnsi="Times New Roman" w:cs="Times New Roman"/>
        </w:rPr>
        <w:t xml:space="preserve"> de 2026, a autorização administrativa dos pagamentos da Câmara Municipal de Aparecida do Taboado/MS será formalizada pelo Presidente, na condição de ordenador de despesas, nos termos do art. 18, inciso IV, alínea “b”, do Regimento Interno, observadas as exigências legais e a regular instrução de cada processo.</w:t>
      </w:r>
    </w:p>
    <w:p w14:paraId="429C307D" w14:textId="77777777" w:rsidR="00F8746D" w:rsidRDefault="00F8746D">
      <w:pPr>
        <w:spacing w:after="0" w:line="240" w:lineRule="auto"/>
        <w:ind w:firstLine="709"/>
        <w:jc w:val="both"/>
        <w:rPr>
          <w:rFonts w:ascii="Times New Roman" w:hAnsi="Times New Roman" w:cs="Times New Roman"/>
        </w:rPr>
      </w:pPr>
    </w:p>
    <w:p w14:paraId="7CFCF510"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Art. 2º</w:t>
      </w:r>
      <w:r>
        <w:rPr>
          <w:rFonts w:ascii="Times New Roman" w:hAnsi="Times New Roman" w:cs="Times New Roman"/>
        </w:rPr>
        <w:t xml:space="preserve"> As Secretarias, a Contabilidade e a Tesouraria darão prosseguimento aos processos e executarão os pagamentos eletrônicos expressamente autorizados pela Presidência, independentemente de assinatura, visto, anuência ou concordância adicional do Primeiro Secretário como condição de autorização administrativa.</w:t>
      </w:r>
    </w:p>
    <w:p w14:paraId="0F5255DC" w14:textId="77777777" w:rsidR="00F8746D" w:rsidRDefault="00F8746D">
      <w:pPr>
        <w:spacing w:after="0" w:line="240" w:lineRule="auto"/>
        <w:ind w:firstLine="709"/>
        <w:jc w:val="both"/>
        <w:rPr>
          <w:rFonts w:ascii="Times New Roman" w:hAnsi="Times New Roman" w:cs="Times New Roman"/>
        </w:rPr>
      </w:pPr>
    </w:p>
    <w:p w14:paraId="64B493E3"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 1º</w:t>
      </w:r>
      <w:r>
        <w:rPr>
          <w:rFonts w:ascii="Times New Roman" w:hAnsi="Times New Roman" w:cs="Times New Roman"/>
        </w:rPr>
        <w:t xml:space="preserve"> A atribuição prevista no art. 20, inciso XI, do Regimento Interno, referente à assinatura conjunta de cheques, não constitui exigência de aprovação, pelo Primeiro Secretário, dos empenhos, das liquidações ou das ordens de pagamento eletrônico.</w:t>
      </w:r>
    </w:p>
    <w:p w14:paraId="7E9A69CA" w14:textId="77777777" w:rsidR="00F8746D" w:rsidRDefault="00F8746D">
      <w:pPr>
        <w:spacing w:after="0" w:line="240" w:lineRule="auto"/>
        <w:ind w:firstLine="709"/>
        <w:jc w:val="both"/>
        <w:rPr>
          <w:rFonts w:ascii="Times New Roman" w:hAnsi="Times New Roman" w:cs="Times New Roman"/>
        </w:rPr>
      </w:pPr>
    </w:p>
    <w:p w14:paraId="04D97408"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 2º</w:t>
      </w:r>
      <w:r>
        <w:rPr>
          <w:rFonts w:ascii="Times New Roman" w:hAnsi="Times New Roman" w:cs="Times New Roman"/>
        </w:rPr>
        <w:t xml:space="preserve"> A ausência de assinatura ou de manifestação de concordância do Primeiro Secretário não constituirá, por si só, fundamento para a retenção de processo regularmente instruído e autorizado pelo ordenador de despesas.</w:t>
      </w:r>
    </w:p>
    <w:p w14:paraId="2544FDF2" w14:textId="77777777" w:rsidR="00F8746D" w:rsidRDefault="00F8746D">
      <w:pPr>
        <w:spacing w:after="0" w:line="240" w:lineRule="auto"/>
        <w:ind w:firstLine="709"/>
        <w:jc w:val="both"/>
        <w:rPr>
          <w:rFonts w:ascii="Times New Roman" w:hAnsi="Times New Roman" w:cs="Times New Roman"/>
        </w:rPr>
      </w:pPr>
    </w:p>
    <w:p w14:paraId="62CEF8BD"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 3º</w:t>
      </w:r>
      <w:r>
        <w:rPr>
          <w:rFonts w:ascii="Times New Roman" w:hAnsi="Times New Roman" w:cs="Times New Roman"/>
        </w:rPr>
        <w:t xml:space="preserve"> Ficam assegurados o registro e a apreciação das manifestações apresentadas pelo Primeiro Secretário, bem como as suas competências regimentais e fiscalizatórias.</w:t>
      </w:r>
    </w:p>
    <w:p w14:paraId="392963F8" w14:textId="77777777" w:rsidR="00F8746D" w:rsidRDefault="00F8746D">
      <w:pPr>
        <w:spacing w:after="0" w:line="240" w:lineRule="auto"/>
        <w:ind w:firstLine="709"/>
        <w:jc w:val="both"/>
        <w:rPr>
          <w:rFonts w:ascii="Times New Roman" w:hAnsi="Times New Roman" w:cs="Times New Roman"/>
        </w:rPr>
      </w:pPr>
    </w:p>
    <w:p w14:paraId="03ECFDDC"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 4º</w:t>
      </w:r>
      <w:r>
        <w:rPr>
          <w:rFonts w:ascii="Times New Roman" w:hAnsi="Times New Roman" w:cs="Times New Roman"/>
        </w:rPr>
        <w:t xml:space="preserve"> O disposto neste artigo não afasta a assinatura conjunta na eventual emissão de cheques, nem exigência expressa de outra norma aplicável ou de instrumento bancário vigente.</w:t>
      </w:r>
    </w:p>
    <w:p w14:paraId="35D38F74" w14:textId="77777777" w:rsidR="00F8746D" w:rsidRDefault="00F8746D">
      <w:pPr>
        <w:spacing w:after="0" w:line="240" w:lineRule="auto"/>
        <w:ind w:firstLine="709"/>
        <w:jc w:val="both"/>
        <w:rPr>
          <w:rFonts w:ascii="Times New Roman" w:hAnsi="Times New Roman" w:cs="Times New Roman"/>
        </w:rPr>
      </w:pPr>
    </w:p>
    <w:p w14:paraId="10332744"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Art. 3º</w:t>
      </w:r>
      <w:r>
        <w:rPr>
          <w:rFonts w:ascii="Times New Roman" w:hAnsi="Times New Roman" w:cs="Times New Roman"/>
        </w:rPr>
        <w:t xml:space="preserve"> A ordenação de despesas compete ao Presidente da Câmara Municipal, nos termos do art. 18, inciso IV, alínea “b”, do Regimento Interno, e por ela responde quem a exerce, quanto às decisões de autorização de despesas e pagamentos que praticar nessa condição.</w:t>
      </w:r>
    </w:p>
    <w:p w14:paraId="1576122E" w14:textId="77777777" w:rsidR="00F8746D" w:rsidRDefault="00F8746D">
      <w:pPr>
        <w:spacing w:after="0" w:line="240" w:lineRule="auto"/>
        <w:ind w:firstLine="709"/>
        <w:jc w:val="both"/>
        <w:rPr>
          <w:rFonts w:ascii="Times New Roman" w:hAnsi="Times New Roman" w:cs="Times New Roman"/>
        </w:rPr>
      </w:pPr>
    </w:p>
    <w:p w14:paraId="6DA42435"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 1º</w:t>
      </w:r>
      <w:r>
        <w:rPr>
          <w:rFonts w:ascii="Times New Roman" w:hAnsi="Times New Roman" w:cs="Times New Roman"/>
        </w:rPr>
        <w:t xml:space="preserve"> A responsabilidade pela decisão de ordenação não decorre da condição de integrante da Mesa Diretora nem da ausência de concordância de outro membro da Mesa com o pagamento.</w:t>
      </w:r>
    </w:p>
    <w:p w14:paraId="4D0DF99E" w14:textId="77777777" w:rsidR="00F8746D" w:rsidRDefault="00F8746D">
      <w:pPr>
        <w:spacing w:after="0" w:line="240" w:lineRule="auto"/>
        <w:ind w:firstLine="709"/>
        <w:jc w:val="both"/>
        <w:rPr>
          <w:rFonts w:ascii="Times New Roman" w:hAnsi="Times New Roman" w:cs="Times New Roman"/>
        </w:rPr>
      </w:pPr>
    </w:p>
    <w:p w14:paraId="2C2DFFB0"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 2º</w:t>
      </w:r>
      <w:r>
        <w:rPr>
          <w:rFonts w:ascii="Times New Roman" w:hAnsi="Times New Roman" w:cs="Times New Roman"/>
        </w:rPr>
        <w:t xml:space="preserve"> O disposto neste artigo não exclui nem transfere as responsabilidades legais dos demais agentes pelos atos que praticarem no exercício de suas atribuições.</w:t>
      </w:r>
    </w:p>
    <w:p w14:paraId="7BB6BBE1" w14:textId="77777777" w:rsidR="00F8746D" w:rsidRDefault="00F8746D">
      <w:pPr>
        <w:spacing w:after="0" w:line="240" w:lineRule="auto"/>
        <w:ind w:firstLine="709"/>
        <w:jc w:val="both"/>
        <w:rPr>
          <w:rFonts w:ascii="Times New Roman" w:hAnsi="Times New Roman" w:cs="Times New Roman"/>
        </w:rPr>
      </w:pPr>
    </w:p>
    <w:p w14:paraId="2C52A8BE"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 3º</w:t>
      </w:r>
      <w:r>
        <w:rPr>
          <w:rFonts w:ascii="Times New Roman" w:hAnsi="Times New Roman" w:cs="Times New Roman"/>
        </w:rPr>
        <w:t xml:space="preserve"> Permanecem sob a responsabilidade dos agentes competentes a fiscalização e o atesto da execução contratual, a liquidação, os registros contábeis, as retenções legais, as conferências e a execução material dos pagamentos.</w:t>
      </w:r>
    </w:p>
    <w:p w14:paraId="7A203A31" w14:textId="77777777" w:rsidR="00F8746D" w:rsidRDefault="00F8746D">
      <w:pPr>
        <w:spacing w:after="0" w:line="240" w:lineRule="auto"/>
        <w:ind w:firstLine="709"/>
        <w:jc w:val="both"/>
        <w:rPr>
          <w:rFonts w:ascii="Times New Roman" w:hAnsi="Times New Roman" w:cs="Times New Roman"/>
        </w:rPr>
      </w:pPr>
    </w:p>
    <w:p w14:paraId="41655A58"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Art. 4º</w:t>
      </w:r>
      <w:r>
        <w:rPr>
          <w:rFonts w:ascii="Times New Roman" w:hAnsi="Times New Roman" w:cs="Times New Roman"/>
        </w:rPr>
        <w:t xml:space="preserve"> Cada pagamento dependerá de autorização expressa da Presidência, individualizada ou constante de relação discriminada que permita identificar o processo, o credor, a obrigação, o valor e a liquidação correspondente.</w:t>
      </w:r>
    </w:p>
    <w:p w14:paraId="6847B536" w14:textId="77777777" w:rsidR="00F8746D" w:rsidRDefault="00F8746D">
      <w:pPr>
        <w:spacing w:after="0" w:line="240" w:lineRule="auto"/>
        <w:ind w:firstLine="709"/>
        <w:jc w:val="both"/>
        <w:rPr>
          <w:rFonts w:ascii="Times New Roman" w:hAnsi="Times New Roman" w:cs="Times New Roman"/>
        </w:rPr>
      </w:pPr>
    </w:p>
    <w:p w14:paraId="21FFD141"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Parágrafo único.</w:t>
      </w:r>
      <w:r>
        <w:rPr>
          <w:rFonts w:ascii="Times New Roman" w:hAnsi="Times New Roman" w:cs="Times New Roman"/>
        </w:rPr>
        <w:t xml:space="preserve"> Este Ato não constitui autorização genérica para pagamento de despesas sem a verificação dos requisitos próprios de cada obrigação.</w:t>
      </w:r>
    </w:p>
    <w:p w14:paraId="6E0B6F05" w14:textId="77777777" w:rsidR="00F8746D" w:rsidRDefault="00F8746D">
      <w:pPr>
        <w:spacing w:after="0" w:line="240" w:lineRule="auto"/>
        <w:ind w:firstLine="709"/>
        <w:jc w:val="both"/>
        <w:rPr>
          <w:rFonts w:ascii="Times New Roman" w:hAnsi="Times New Roman" w:cs="Times New Roman"/>
        </w:rPr>
      </w:pPr>
    </w:p>
    <w:p w14:paraId="47AF0CCD"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Art. 5º</w:t>
      </w:r>
      <w:r>
        <w:rPr>
          <w:rFonts w:ascii="Times New Roman" w:hAnsi="Times New Roman" w:cs="Times New Roman"/>
        </w:rPr>
        <w:t xml:space="preserve"> O processamento das despesas observará:</w:t>
      </w:r>
    </w:p>
    <w:p w14:paraId="218AE339"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rPr>
        <w:t>I - o fundamento legal ou contratual da obrigação;</w:t>
      </w:r>
    </w:p>
    <w:p w14:paraId="683BD7DF"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rPr>
        <w:t>II - o prévio empenho e a regular liquidação;</w:t>
      </w:r>
    </w:p>
    <w:p w14:paraId="5AD581DE"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rPr>
        <w:t>III - a comprovação da entrega do bem, da prestação do serviço ou do fato gerador da obrigação, conforme o caso;</w:t>
      </w:r>
    </w:p>
    <w:p w14:paraId="4BE40527"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rPr>
        <w:t>IV - a identificação do credor e a conferência do valor devido;</w:t>
      </w:r>
    </w:p>
    <w:p w14:paraId="05A68B67"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rPr>
        <w:t>V - a disponibilidade orçamentária e financeira pertinente;</w:t>
      </w:r>
    </w:p>
    <w:p w14:paraId="613EA6EA"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rPr>
        <w:t>VI - as retenções e os recolhimentos legalmente exigidos;</w:t>
      </w:r>
    </w:p>
    <w:p w14:paraId="3B963733"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rPr>
        <w:t>VII - os vencimentos e a ordem cronológica de pagamentos prevista no art. 141 da Lei Federal nº 14.133, de 2021;</w:t>
      </w:r>
    </w:p>
    <w:p w14:paraId="0CD0715A"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rPr>
        <w:t>VIII - o registro da autorização e do comprovante da operação nos respectivos autos.</w:t>
      </w:r>
    </w:p>
    <w:p w14:paraId="33994AA9" w14:textId="77777777" w:rsidR="00F8746D" w:rsidRDefault="00F8746D">
      <w:pPr>
        <w:spacing w:after="0" w:line="240" w:lineRule="auto"/>
        <w:ind w:firstLine="709"/>
        <w:jc w:val="both"/>
        <w:rPr>
          <w:rFonts w:ascii="Times New Roman" w:hAnsi="Times New Roman" w:cs="Times New Roman"/>
        </w:rPr>
      </w:pPr>
    </w:p>
    <w:p w14:paraId="1AD1FB61"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Art. 6º</w:t>
      </w:r>
      <w:r>
        <w:rPr>
          <w:rFonts w:ascii="Times New Roman" w:hAnsi="Times New Roman" w:cs="Times New Roman"/>
        </w:rPr>
        <w:t xml:space="preserve"> A Secretaria Administrativa coordenará a tramitação dos processos, a Contabilidade realizará os procedimentos contábeis de sua competência e a Tesouraria executará os pagamentos regularmente autorizados, preservadas as atribuições de cada setor.</w:t>
      </w:r>
    </w:p>
    <w:p w14:paraId="04A584BE" w14:textId="77777777" w:rsidR="00F8746D" w:rsidRDefault="00F8746D">
      <w:pPr>
        <w:spacing w:after="0" w:line="240" w:lineRule="auto"/>
        <w:ind w:firstLine="709"/>
        <w:jc w:val="both"/>
        <w:rPr>
          <w:rFonts w:ascii="Times New Roman" w:hAnsi="Times New Roman" w:cs="Times New Roman"/>
        </w:rPr>
      </w:pPr>
    </w:p>
    <w:p w14:paraId="5CE231F5"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 1º</w:t>
      </w:r>
      <w:r>
        <w:rPr>
          <w:rFonts w:ascii="Times New Roman" w:hAnsi="Times New Roman" w:cs="Times New Roman"/>
        </w:rPr>
        <w:t xml:space="preserve"> As operações bancárias observarão os perfis de acesso e as autorizações validamente exigidas, com utilização de credenciais pessoais e identificação dos agentes responsáveis.</w:t>
      </w:r>
    </w:p>
    <w:p w14:paraId="6CA36209" w14:textId="77777777" w:rsidR="00F8746D" w:rsidRDefault="00F8746D">
      <w:pPr>
        <w:spacing w:after="0" w:line="240" w:lineRule="auto"/>
        <w:ind w:firstLine="709"/>
        <w:jc w:val="both"/>
        <w:rPr>
          <w:rFonts w:ascii="Times New Roman" w:hAnsi="Times New Roman" w:cs="Times New Roman"/>
        </w:rPr>
      </w:pPr>
    </w:p>
    <w:p w14:paraId="52F4F1E6"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 2º</w:t>
      </w:r>
      <w:r>
        <w:rPr>
          <w:rFonts w:ascii="Times New Roman" w:hAnsi="Times New Roman" w:cs="Times New Roman"/>
        </w:rPr>
        <w:t xml:space="preserve"> Eventual adequação cadastral ou operacional perante a instituição financeira dependerá do cumprimento dos procedimentos e instrumentos aplicáveis.</w:t>
      </w:r>
    </w:p>
    <w:p w14:paraId="19F0DD7F" w14:textId="77777777" w:rsidR="00F8746D" w:rsidRDefault="00F8746D">
      <w:pPr>
        <w:spacing w:after="0" w:line="240" w:lineRule="auto"/>
        <w:ind w:firstLine="709"/>
        <w:jc w:val="both"/>
        <w:rPr>
          <w:rFonts w:ascii="Times New Roman" w:hAnsi="Times New Roman" w:cs="Times New Roman"/>
        </w:rPr>
      </w:pPr>
    </w:p>
    <w:p w14:paraId="486E1BEA"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Art. 7º</w:t>
      </w:r>
      <w:r>
        <w:rPr>
          <w:rFonts w:ascii="Times New Roman" w:hAnsi="Times New Roman" w:cs="Times New Roman"/>
        </w:rPr>
        <w:t xml:space="preserve"> A identificação de irregularidade concreta, de ausência de documento obrigatório ou de impedimento legal deverá ser comunicada imediatamente à Presidência, mediante registro fundamentado no processo.</w:t>
      </w:r>
    </w:p>
    <w:p w14:paraId="4331C47D" w14:textId="77777777" w:rsidR="00F8746D" w:rsidRDefault="00F8746D">
      <w:pPr>
        <w:spacing w:after="0" w:line="240" w:lineRule="auto"/>
        <w:ind w:firstLine="709"/>
        <w:jc w:val="both"/>
        <w:rPr>
          <w:rFonts w:ascii="Times New Roman" w:hAnsi="Times New Roman" w:cs="Times New Roman"/>
        </w:rPr>
      </w:pPr>
    </w:p>
    <w:p w14:paraId="674BB923"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Parágrafo único.</w:t>
      </w:r>
      <w:r>
        <w:rPr>
          <w:rFonts w:ascii="Times New Roman" w:hAnsi="Times New Roman" w:cs="Times New Roman"/>
        </w:rPr>
        <w:t xml:space="preserve"> A comunicação indicará o impedimento identificado e a providência necessária à regularização, vedadas a retenção informal dos autos e a interrupção da tramitação fundada exclusivamente na ausência de anuência do Primeiro Secretário, nos limites deste Ato.</w:t>
      </w:r>
    </w:p>
    <w:p w14:paraId="5F0A69BA" w14:textId="77777777" w:rsidR="00F8746D" w:rsidRDefault="00F8746D">
      <w:pPr>
        <w:spacing w:after="0" w:line="240" w:lineRule="auto"/>
        <w:ind w:firstLine="709"/>
        <w:jc w:val="both"/>
        <w:rPr>
          <w:rFonts w:ascii="Times New Roman" w:hAnsi="Times New Roman" w:cs="Times New Roman"/>
        </w:rPr>
      </w:pPr>
    </w:p>
    <w:p w14:paraId="2D86E1A2"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Art. 8º</w:t>
      </w:r>
      <w:r>
        <w:rPr>
          <w:rFonts w:ascii="Times New Roman" w:hAnsi="Times New Roman" w:cs="Times New Roman"/>
        </w:rPr>
        <w:t xml:space="preserve"> Os setores administrativos responsáveis deverão identificar os pagamentos pendentes e submetê-los à Presidência, com informação sobre a sua instrução, o vencimento e eventuais impedimentos.</w:t>
      </w:r>
    </w:p>
    <w:p w14:paraId="2A8ACE42" w14:textId="77777777" w:rsidR="00F8746D" w:rsidRDefault="00F8746D">
      <w:pPr>
        <w:spacing w:after="0" w:line="240" w:lineRule="auto"/>
        <w:ind w:firstLine="709"/>
        <w:jc w:val="both"/>
        <w:rPr>
          <w:rFonts w:ascii="Times New Roman" w:hAnsi="Times New Roman" w:cs="Times New Roman"/>
        </w:rPr>
      </w:pPr>
    </w:p>
    <w:p w14:paraId="2A177B9E"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Parágrafo único.</w:t>
      </w:r>
      <w:r>
        <w:rPr>
          <w:rFonts w:ascii="Times New Roman" w:hAnsi="Times New Roman" w:cs="Times New Roman"/>
        </w:rPr>
        <w:t xml:space="preserve"> As obrigações regularmente liquidadas e autorizadas terão prosseguimento segundo a ordem legalmente aplicável, sem favorecimento de credores.</w:t>
      </w:r>
    </w:p>
    <w:p w14:paraId="61EE145E" w14:textId="77777777" w:rsidR="00F8746D" w:rsidRDefault="00F8746D">
      <w:pPr>
        <w:spacing w:after="0" w:line="240" w:lineRule="auto"/>
        <w:ind w:firstLine="709"/>
        <w:jc w:val="both"/>
        <w:rPr>
          <w:rFonts w:ascii="Times New Roman" w:hAnsi="Times New Roman" w:cs="Times New Roman"/>
        </w:rPr>
      </w:pPr>
    </w:p>
    <w:p w14:paraId="05904E4B"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Art. 9º</w:t>
      </w:r>
      <w:r>
        <w:rPr>
          <w:rFonts w:ascii="Times New Roman" w:hAnsi="Times New Roman" w:cs="Times New Roman"/>
        </w:rPr>
        <w:t xml:space="preserve"> Dê-se ciência deste Ato aos membros da Mesa Diretora, à Secretaria Administrativa, à Contabilidade, à Tesouraria e ao Controle Interno.</w:t>
      </w:r>
    </w:p>
    <w:p w14:paraId="0C183531" w14:textId="77777777" w:rsidR="00F8746D" w:rsidRDefault="00F8746D">
      <w:pPr>
        <w:spacing w:after="0" w:line="240" w:lineRule="auto"/>
        <w:ind w:firstLine="709"/>
        <w:jc w:val="both"/>
        <w:rPr>
          <w:rFonts w:ascii="Times New Roman" w:hAnsi="Times New Roman" w:cs="Times New Roman"/>
        </w:rPr>
      </w:pPr>
    </w:p>
    <w:p w14:paraId="17BD5725" w14:textId="77777777"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Art. 10.</w:t>
      </w:r>
      <w:r>
        <w:rPr>
          <w:rFonts w:ascii="Times New Roman" w:hAnsi="Times New Roman" w:cs="Times New Roman"/>
        </w:rPr>
        <w:t xml:space="preserve"> Este Ato disciplina o fluxo administrativo dos pagamentos e declara a competência da Presidência nos termos do Regimento Interno, sem alterá-lo e sem restringir a fiscalização e o controle dos atos de gestão.</w:t>
      </w:r>
    </w:p>
    <w:p w14:paraId="55C4DEB6" w14:textId="77777777" w:rsidR="00F8746D" w:rsidRDefault="00F8746D">
      <w:pPr>
        <w:spacing w:after="0" w:line="240" w:lineRule="auto"/>
        <w:ind w:firstLine="709"/>
        <w:jc w:val="both"/>
        <w:rPr>
          <w:rFonts w:ascii="Times New Roman" w:hAnsi="Times New Roman" w:cs="Times New Roman"/>
        </w:rPr>
      </w:pPr>
    </w:p>
    <w:p w14:paraId="7CA0D5C3" w14:textId="3FE5D48D" w:rsidR="00F8746D" w:rsidRDefault="00BE3BAF">
      <w:pPr>
        <w:spacing w:after="0" w:line="240" w:lineRule="auto"/>
        <w:ind w:firstLine="709"/>
        <w:jc w:val="both"/>
        <w:rPr>
          <w:rFonts w:ascii="Times New Roman" w:hAnsi="Times New Roman" w:cs="Times New Roman"/>
        </w:rPr>
      </w:pPr>
      <w:r>
        <w:rPr>
          <w:rFonts w:ascii="Times New Roman" w:hAnsi="Times New Roman" w:cs="Times New Roman"/>
          <w:b/>
          <w:bCs/>
        </w:rPr>
        <w:t>Art. 11.</w:t>
      </w:r>
      <w:r>
        <w:rPr>
          <w:rFonts w:ascii="Times New Roman" w:hAnsi="Times New Roman" w:cs="Times New Roman"/>
        </w:rPr>
        <w:t xml:space="preserve"> Este Ato entra em vigor na data de sua publicação, produzindo efeitos a partir de </w:t>
      </w:r>
      <w:r w:rsidR="001C275D">
        <w:rPr>
          <w:rFonts w:ascii="Times New Roman" w:hAnsi="Times New Roman" w:cs="Times New Roman"/>
        </w:rPr>
        <w:t>09</w:t>
      </w:r>
      <w:r>
        <w:rPr>
          <w:rFonts w:ascii="Times New Roman" w:hAnsi="Times New Roman" w:cs="Times New Roman"/>
        </w:rPr>
        <w:t xml:space="preserve"> de </w:t>
      </w:r>
      <w:r w:rsidR="001C275D">
        <w:rPr>
          <w:rFonts w:ascii="Times New Roman" w:hAnsi="Times New Roman" w:cs="Times New Roman"/>
        </w:rPr>
        <w:t>novembro</w:t>
      </w:r>
      <w:r>
        <w:rPr>
          <w:rFonts w:ascii="Times New Roman" w:hAnsi="Times New Roman" w:cs="Times New Roman"/>
        </w:rPr>
        <w:t xml:space="preserve"> de 2026.</w:t>
      </w:r>
    </w:p>
    <w:p w14:paraId="3CD07C0A" w14:textId="77777777" w:rsidR="00F8746D" w:rsidRDefault="00F8746D" w:rsidP="00BE3BAF">
      <w:pPr>
        <w:spacing w:after="0" w:line="240" w:lineRule="auto"/>
        <w:jc w:val="both"/>
        <w:rPr>
          <w:rFonts w:ascii="Times New Roman" w:hAnsi="Times New Roman" w:cs="Times New Roman"/>
        </w:rPr>
      </w:pPr>
    </w:p>
    <w:p w14:paraId="25336B78" w14:textId="0F53220D" w:rsidR="00F8746D" w:rsidRDefault="00BE3BAF">
      <w:pPr>
        <w:spacing w:after="0" w:line="240" w:lineRule="auto"/>
        <w:jc w:val="both"/>
        <w:rPr>
          <w:rFonts w:ascii="Times New Roman" w:hAnsi="Times New Roman" w:cs="Times New Roman"/>
        </w:rPr>
      </w:pPr>
      <w:r>
        <w:rPr>
          <w:rFonts w:ascii="Times New Roman" w:hAnsi="Times New Roman" w:cs="Times New Roman"/>
        </w:rPr>
        <w:t xml:space="preserve">Câmara Municipal de Aparecida do Taboado, Estado de Mato Grosso do Sul, aos </w:t>
      </w:r>
      <w:r w:rsidR="00F866C2">
        <w:rPr>
          <w:rFonts w:ascii="Times New Roman" w:hAnsi="Times New Roman" w:cs="Times New Roman"/>
        </w:rPr>
        <w:t>06</w:t>
      </w:r>
      <w:r>
        <w:rPr>
          <w:rFonts w:ascii="Times New Roman" w:hAnsi="Times New Roman" w:cs="Times New Roman"/>
        </w:rPr>
        <w:t xml:space="preserve"> dias do mês de </w:t>
      </w:r>
      <w:r w:rsidR="00F866C2">
        <w:rPr>
          <w:rFonts w:ascii="Times New Roman" w:hAnsi="Times New Roman" w:cs="Times New Roman"/>
        </w:rPr>
        <w:t xml:space="preserve">novembro </w:t>
      </w:r>
      <w:r>
        <w:rPr>
          <w:rFonts w:ascii="Times New Roman" w:hAnsi="Times New Roman" w:cs="Times New Roman"/>
        </w:rPr>
        <w:t>do ano de 2026.</w:t>
      </w:r>
    </w:p>
    <w:p w14:paraId="40AE9A48" w14:textId="77777777" w:rsidR="00F8746D" w:rsidRDefault="00F8746D">
      <w:pPr>
        <w:spacing w:after="0" w:line="240" w:lineRule="auto"/>
        <w:ind w:firstLine="709"/>
        <w:jc w:val="both"/>
        <w:rPr>
          <w:rFonts w:ascii="Times New Roman" w:hAnsi="Times New Roman" w:cs="Times New Roman"/>
        </w:rPr>
      </w:pPr>
    </w:p>
    <w:p w14:paraId="0561A522" w14:textId="77777777" w:rsidR="00F8746D" w:rsidRDefault="00F8746D">
      <w:pPr>
        <w:spacing w:after="0" w:line="240" w:lineRule="auto"/>
        <w:ind w:firstLine="709"/>
        <w:jc w:val="both"/>
        <w:rPr>
          <w:rFonts w:ascii="Times New Roman" w:hAnsi="Times New Roman" w:cs="Times New Roman"/>
        </w:rPr>
      </w:pPr>
    </w:p>
    <w:p w14:paraId="0E08CF30" w14:textId="77777777" w:rsidR="00F8746D" w:rsidRDefault="00F8746D">
      <w:pPr>
        <w:spacing w:after="0" w:line="240" w:lineRule="auto"/>
        <w:ind w:firstLine="709"/>
        <w:jc w:val="both"/>
        <w:rPr>
          <w:rFonts w:ascii="Times New Roman" w:hAnsi="Times New Roman" w:cs="Times New Roman"/>
        </w:rPr>
      </w:pPr>
    </w:p>
    <w:p w14:paraId="03012302" w14:textId="77777777" w:rsidR="00F8746D" w:rsidRDefault="00BE3BAF">
      <w:pPr>
        <w:spacing w:after="0" w:line="240" w:lineRule="auto"/>
        <w:jc w:val="center"/>
        <w:rPr>
          <w:rFonts w:ascii="Times New Roman" w:hAnsi="Times New Roman" w:cs="Times New Roman"/>
        </w:rPr>
      </w:pPr>
      <w:r>
        <w:rPr>
          <w:rFonts w:ascii="Times New Roman" w:hAnsi="Times New Roman" w:cs="Times New Roman"/>
          <w:b/>
          <w:bCs/>
        </w:rPr>
        <w:t>HEBERSON GALTER CUSTÓDIO</w:t>
      </w:r>
    </w:p>
    <w:p w14:paraId="5DA8AA8A" w14:textId="77777777" w:rsidR="00F8746D" w:rsidRDefault="00BE3BAF">
      <w:pPr>
        <w:spacing w:after="0" w:line="240" w:lineRule="auto"/>
        <w:jc w:val="center"/>
        <w:rPr>
          <w:rFonts w:ascii="Times New Roman" w:hAnsi="Times New Roman" w:cs="Times New Roman"/>
        </w:rPr>
      </w:pPr>
      <w:r>
        <w:rPr>
          <w:rFonts w:ascii="Times New Roman" w:hAnsi="Times New Roman" w:cs="Times New Roman"/>
        </w:rPr>
        <w:t>Presidente da Câmara Municipal</w:t>
      </w:r>
    </w:p>
    <w:p w14:paraId="2AA34D6C" w14:textId="5D1FBC62" w:rsidR="00F8746D" w:rsidRDefault="00F8746D">
      <w:pPr>
        <w:spacing w:after="0" w:line="240" w:lineRule="auto"/>
        <w:jc w:val="center"/>
        <w:rPr>
          <w:rFonts w:ascii="Times New Roman" w:hAnsi="Times New Roman" w:cs="Times New Roman"/>
        </w:rPr>
      </w:pPr>
    </w:p>
    <w:sectPr w:rsidR="00F8746D" w:rsidSect="001654AC">
      <w:headerReference w:type="default" r:id="rId7"/>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C247A" w14:textId="77777777" w:rsidR="006311BE" w:rsidRDefault="006311BE" w:rsidP="00D977A5">
      <w:pPr>
        <w:spacing w:after="0" w:line="240" w:lineRule="auto"/>
      </w:pPr>
      <w:r>
        <w:separator/>
      </w:r>
    </w:p>
  </w:endnote>
  <w:endnote w:type="continuationSeparator" w:id="0">
    <w:p w14:paraId="61BDB5D0" w14:textId="77777777" w:rsidR="006311BE" w:rsidRDefault="006311BE" w:rsidP="00D97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E97F4" w14:textId="77777777" w:rsidR="006311BE" w:rsidRDefault="006311BE" w:rsidP="00D977A5">
      <w:pPr>
        <w:spacing w:after="0" w:line="240" w:lineRule="auto"/>
      </w:pPr>
      <w:r>
        <w:separator/>
      </w:r>
    </w:p>
  </w:footnote>
  <w:footnote w:type="continuationSeparator" w:id="0">
    <w:p w14:paraId="69FBEDDD" w14:textId="77777777" w:rsidR="006311BE" w:rsidRDefault="006311BE" w:rsidP="00D977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C3133" w14:textId="77777777" w:rsidR="00D977A5" w:rsidRDefault="00D977A5" w:rsidP="002C6F36">
    <w:pPr>
      <w:pStyle w:val="Cabealho"/>
      <w:ind w:right="-1"/>
    </w:pPr>
    <w:r w:rsidRPr="00123D77">
      <w:rPr>
        <w:noProof/>
        <w:lang w:eastAsia="pt-BR"/>
      </w:rPr>
      <w:drawing>
        <wp:inline distT="0" distB="0" distL="0" distR="0" wp14:anchorId="29B40F66" wp14:editId="7BBF7D8A">
          <wp:extent cx="5780598" cy="803910"/>
          <wp:effectExtent l="0" t="0" r="0" b="0"/>
          <wp:docPr id="197827424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7970507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7372" cy="80485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E798E"/>
    <w:multiLevelType w:val="multilevel"/>
    <w:tmpl w:val="43B6E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8777F7"/>
    <w:multiLevelType w:val="multilevel"/>
    <w:tmpl w:val="350EA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950EEA"/>
    <w:multiLevelType w:val="multilevel"/>
    <w:tmpl w:val="B9A4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400FC0"/>
    <w:multiLevelType w:val="multilevel"/>
    <w:tmpl w:val="F732E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B3773A"/>
    <w:multiLevelType w:val="multilevel"/>
    <w:tmpl w:val="7E0E5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DA6352"/>
    <w:multiLevelType w:val="multilevel"/>
    <w:tmpl w:val="264E0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0F7B7D"/>
    <w:multiLevelType w:val="multilevel"/>
    <w:tmpl w:val="7DBE8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6770B0"/>
    <w:multiLevelType w:val="multilevel"/>
    <w:tmpl w:val="C108D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0701A2"/>
    <w:multiLevelType w:val="multilevel"/>
    <w:tmpl w:val="C618F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4C5096"/>
    <w:multiLevelType w:val="multilevel"/>
    <w:tmpl w:val="AB5A0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280668"/>
    <w:multiLevelType w:val="multilevel"/>
    <w:tmpl w:val="EFDE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A87828"/>
    <w:multiLevelType w:val="multilevel"/>
    <w:tmpl w:val="B1069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FD3497"/>
    <w:multiLevelType w:val="multilevel"/>
    <w:tmpl w:val="71DA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763746"/>
    <w:multiLevelType w:val="multilevel"/>
    <w:tmpl w:val="679EA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A0219A"/>
    <w:multiLevelType w:val="multilevel"/>
    <w:tmpl w:val="B89EF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4F4E3E"/>
    <w:multiLevelType w:val="multilevel"/>
    <w:tmpl w:val="ED86E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D11810"/>
    <w:multiLevelType w:val="multilevel"/>
    <w:tmpl w:val="99CC9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B66043"/>
    <w:multiLevelType w:val="multilevel"/>
    <w:tmpl w:val="4774B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275988"/>
    <w:multiLevelType w:val="multilevel"/>
    <w:tmpl w:val="EC483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A827BC"/>
    <w:multiLevelType w:val="multilevel"/>
    <w:tmpl w:val="3BF0D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CD1D13"/>
    <w:multiLevelType w:val="multilevel"/>
    <w:tmpl w:val="19567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9F4165"/>
    <w:multiLevelType w:val="multilevel"/>
    <w:tmpl w:val="1CB82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A4E6FBF"/>
    <w:multiLevelType w:val="multilevel"/>
    <w:tmpl w:val="8CE22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CB084F"/>
    <w:multiLevelType w:val="multilevel"/>
    <w:tmpl w:val="FEB04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E958D6"/>
    <w:multiLevelType w:val="multilevel"/>
    <w:tmpl w:val="A3906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5D3811"/>
    <w:multiLevelType w:val="multilevel"/>
    <w:tmpl w:val="42A2C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9913E4"/>
    <w:multiLevelType w:val="multilevel"/>
    <w:tmpl w:val="AAC86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E929CA"/>
    <w:multiLevelType w:val="multilevel"/>
    <w:tmpl w:val="C6622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4203223">
    <w:abstractNumId w:val="14"/>
  </w:num>
  <w:num w:numId="2" w16cid:durableId="1869441194">
    <w:abstractNumId w:val="2"/>
  </w:num>
  <w:num w:numId="3" w16cid:durableId="81684922">
    <w:abstractNumId w:val="19"/>
  </w:num>
  <w:num w:numId="4" w16cid:durableId="1199661929">
    <w:abstractNumId w:val="6"/>
  </w:num>
  <w:num w:numId="5" w16cid:durableId="212541966">
    <w:abstractNumId w:val="24"/>
  </w:num>
  <w:num w:numId="6" w16cid:durableId="417412657">
    <w:abstractNumId w:val="13"/>
  </w:num>
  <w:num w:numId="7" w16cid:durableId="876699057">
    <w:abstractNumId w:val="18"/>
  </w:num>
  <w:num w:numId="8" w16cid:durableId="236137006">
    <w:abstractNumId w:val="16"/>
  </w:num>
  <w:num w:numId="9" w16cid:durableId="1866358316">
    <w:abstractNumId w:val="22"/>
  </w:num>
  <w:num w:numId="10" w16cid:durableId="91362817">
    <w:abstractNumId w:val="7"/>
  </w:num>
  <w:num w:numId="11" w16cid:durableId="1287852197">
    <w:abstractNumId w:val="8"/>
  </w:num>
  <w:num w:numId="12" w16cid:durableId="1047412347">
    <w:abstractNumId w:val="4"/>
  </w:num>
  <w:num w:numId="13" w16cid:durableId="1181318352">
    <w:abstractNumId w:val="3"/>
  </w:num>
  <w:num w:numId="14" w16cid:durableId="1903061660">
    <w:abstractNumId w:val="5"/>
  </w:num>
  <w:num w:numId="15" w16cid:durableId="1366783752">
    <w:abstractNumId w:val="12"/>
  </w:num>
  <w:num w:numId="16" w16cid:durableId="106848670">
    <w:abstractNumId w:val="10"/>
  </w:num>
  <w:num w:numId="17" w16cid:durableId="763184869">
    <w:abstractNumId w:val="20"/>
  </w:num>
  <w:num w:numId="18" w16cid:durableId="2016571464">
    <w:abstractNumId w:val="1"/>
  </w:num>
  <w:num w:numId="19" w16cid:durableId="1381127905">
    <w:abstractNumId w:val="23"/>
  </w:num>
  <w:num w:numId="20" w16cid:durableId="999162131">
    <w:abstractNumId w:val="15"/>
  </w:num>
  <w:num w:numId="21" w16cid:durableId="1941717152">
    <w:abstractNumId w:val="25"/>
  </w:num>
  <w:num w:numId="22" w16cid:durableId="223370858">
    <w:abstractNumId w:val="11"/>
  </w:num>
  <w:num w:numId="23" w16cid:durableId="1552617889">
    <w:abstractNumId w:val="27"/>
  </w:num>
  <w:num w:numId="24" w16cid:durableId="159782216">
    <w:abstractNumId w:val="9"/>
  </w:num>
  <w:num w:numId="25" w16cid:durableId="808089627">
    <w:abstractNumId w:val="21"/>
  </w:num>
  <w:num w:numId="26" w16cid:durableId="107816938">
    <w:abstractNumId w:val="17"/>
  </w:num>
  <w:num w:numId="27" w16cid:durableId="1934240281">
    <w:abstractNumId w:val="0"/>
  </w:num>
  <w:num w:numId="28" w16cid:durableId="72491618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966"/>
    <w:rsid w:val="00035F2B"/>
    <w:rsid w:val="000C02F7"/>
    <w:rsid w:val="000C42EF"/>
    <w:rsid w:val="000E429B"/>
    <w:rsid w:val="000F5564"/>
    <w:rsid w:val="000F62EF"/>
    <w:rsid w:val="0012546A"/>
    <w:rsid w:val="001654AC"/>
    <w:rsid w:val="00181F36"/>
    <w:rsid w:val="0018379B"/>
    <w:rsid w:val="001A406E"/>
    <w:rsid w:val="001C275D"/>
    <w:rsid w:val="001D14E5"/>
    <w:rsid w:val="001E1F5B"/>
    <w:rsid w:val="001E6F43"/>
    <w:rsid w:val="00214C69"/>
    <w:rsid w:val="00215350"/>
    <w:rsid w:val="0022339E"/>
    <w:rsid w:val="00267337"/>
    <w:rsid w:val="00291839"/>
    <w:rsid w:val="00294641"/>
    <w:rsid w:val="002C6F36"/>
    <w:rsid w:val="002D1959"/>
    <w:rsid w:val="002F1477"/>
    <w:rsid w:val="003138AC"/>
    <w:rsid w:val="003D1818"/>
    <w:rsid w:val="003D6BDE"/>
    <w:rsid w:val="003F2401"/>
    <w:rsid w:val="00443341"/>
    <w:rsid w:val="004607E0"/>
    <w:rsid w:val="00463A70"/>
    <w:rsid w:val="00484CAD"/>
    <w:rsid w:val="004C06CF"/>
    <w:rsid w:val="004C59AB"/>
    <w:rsid w:val="004D5BBD"/>
    <w:rsid w:val="004F381A"/>
    <w:rsid w:val="00527327"/>
    <w:rsid w:val="00543399"/>
    <w:rsid w:val="00593C86"/>
    <w:rsid w:val="005B175A"/>
    <w:rsid w:val="005B5A81"/>
    <w:rsid w:val="005C0C40"/>
    <w:rsid w:val="005E2BD4"/>
    <w:rsid w:val="006311BE"/>
    <w:rsid w:val="00650E1B"/>
    <w:rsid w:val="00675CBF"/>
    <w:rsid w:val="006A2C00"/>
    <w:rsid w:val="006B36E7"/>
    <w:rsid w:val="006D4631"/>
    <w:rsid w:val="006E1F4E"/>
    <w:rsid w:val="006F601B"/>
    <w:rsid w:val="00702070"/>
    <w:rsid w:val="007433CE"/>
    <w:rsid w:val="00760A0B"/>
    <w:rsid w:val="007770AF"/>
    <w:rsid w:val="00791D29"/>
    <w:rsid w:val="007B2A12"/>
    <w:rsid w:val="007E064A"/>
    <w:rsid w:val="00813ED0"/>
    <w:rsid w:val="008843C4"/>
    <w:rsid w:val="008854C8"/>
    <w:rsid w:val="008C6722"/>
    <w:rsid w:val="008D146B"/>
    <w:rsid w:val="008F51AA"/>
    <w:rsid w:val="0091037E"/>
    <w:rsid w:val="00946134"/>
    <w:rsid w:val="00952AB0"/>
    <w:rsid w:val="0095507D"/>
    <w:rsid w:val="0097145D"/>
    <w:rsid w:val="00985BFC"/>
    <w:rsid w:val="009B00BB"/>
    <w:rsid w:val="00A050BA"/>
    <w:rsid w:val="00A0719E"/>
    <w:rsid w:val="00A30BBE"/>
    <w:rsid w:val="00A34A00"/>
    <w:rsid w:val="00A705CF"/>
    <w:rsid w:val="00A74F19"/>
    <w:rsid w:val="00A7662A"/>
    <w:rsid w:val="00AA61D2"/>
    <w:rsid w:val="00AD49AE"/>
    <w:rsid w:val="00B0189B"/>
    <w:rsid w:val="00B43593"/>
    <w:rsid w:val="00B57EC5"/>
    <w:rsid w:val="00BD2102"/>
    <w:rsid w:val="00BE3BAF"/>
    <w:rsid w:val="00C079C9"/>
    <w:rsid w:val="00C245C6"/>
    <w:rsid w:val="00C3586B"/>
    <w:rsid w:val="00CA1D84"/>
    <w:rsid w:val="00CB5DCB"/>
    <w:rsid w:val="00CB7DD9"/>
    <w:rsid w:val="00CF4284"/>
    <w:rsid w:val="00D91D17"/>
    <w:rsid w:val="00D977A5"/>
    <w:rsid w:val="00DA06F1"/>
    <w:rsid w:val="00DA60D3"/>
    <w:rsid w:val="00DB7860"/>
    <w:rsid w:val="00DC12CE"/>
    <w:rsid w:val="00DE3997"/>
    <w:rsid w:val="00DF507B"/>
    <w:rsid w:val="00E03CC1"/>
    <w:rsid w:val="00E17D1D"/>
    <w:rsid w:val="00E24D39"/>
    <w:rsid w:val="00E25839"/>
    <w:rsid w:val="00EB60AE"/>
    <w:rsid w:val="00EB7E1A"/>
    <w:rsid w:val="00F3233D"/>
    <w:rsid w:val="00F553F0"/>
    <w:rsid w:val="00F61407"/>
    <w:rsid w:val="00F866C2"/>
    <w:rsid w:val="00F8746D"/>
    <w:rsid w:val="00F91034"/>
    <w:rsid w:val="00FD13F4"/>
    <w:rsid w:val="00FD29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1E049"/>
  <w15:chartTrackingRefBased/>
  <w15:docId w15:val="{A3123DED-AAD5-44A5-8575-702630A2F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FD296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14:ligatures w14:val="none"/>
    </w:rPr>
  </w:style>
  <w:style w:type="paragraph" w:styleId="Ttulo2">
    <w:name w:val="heading 2"/>
    <w:basedOn w:val="Normal"/>
    <w:link w:val="Ttulo2Char"/>
    <w:uiPriority w:val="9"/>
    <w:qFormat/>
    <w:rsid w:val="00FD2966"/>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t-BR"/>
      <w14:ligatures w14:val="none"/>
    </w:rPr>
  </w:style>
  <w:style w:type="paragraph" w:styleId="Ttulo3">
    <w:name w:val="heading 3"/>
    <w:basedOn w:val="Normal"/>
    <w:link w:val="Ttulo3Char"/>
    <w:uiPriority w:val="9"/>
    <w:qFormat/>
    <w:rsid w:val="00FD2966"/>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D2966"/>
    <w:rPr>
      <w:rFonts w:ascii="Times New Roman" w:eastAsia="Times New Roman" w:hAnsi="Times New Roman" w:cs="Times New Roman"/>
      <w:b/>
      <w:bCs/>
      <w:kern w:val="36"/>
      <w:sz w:val="48"/>
      <w:szCs w:val="48"/>
      <w:lang w:eastAsia="pt-BR"/>
      <w14:ligatures w14:val="none"/>
    </w:rPr>
  </w:style>
  <w:style w:type="character" w:customStyle="1" w:styleId="Ttulo2Char">
    <w:name w:val="Título 2 Char"/>
    <w:basedOn w:val="Fontepargpadro"/>
    <w:link w:val="Ttulo2"/>
    <w:uiPriority w:val="9"/>
    <w:rsid w:val="00FD2966"/>
    <w:rPr>
      <w:rFonts w:ascii="Times New Roman" w:eastAsia="Times New Roman" w:hAnsi="Times New Roman" w:cs="Times New Roman"/>
      <w:b/>
      <w:bCs/>
      <w:kern w:val="0"/>
      <w:sz w:val="36"/>
      <w:szCs w:val="36"/>
      <w:lang w:eastAsia="pt-BR"/>
      <w14:ligatures w14:val="none"/>
    </w:rPr>
  </w:style>
  <w:style w:type="character" w:customStyle="1" w:styleId="Ttulo3Char">
    <w:name w:val="Título 3 Char"/>
    <w:basedOn w:val="Fontepargpadro"/>
    <w:link w:val="Ttulo3"/>
    <w:uiPriority w:val="9"/>
    <w:rsid w:val="00FD2966"/>
    <w:rPr>
      <w:rFonts w:ascii="Times New Roman" w:eastAsia="Times New Roman" w:hAnsi="Times New Roman" w:cs="Times New Roman"/>
      <w:b/>
      <w:bCs/>
      <w:kern w:val="0"/>
      <w:sz w:val="27"/>
      <w:szCs w:val="27"/>
      <w:lang w:eastAsia="pt-BR"/>
      <w14:ligatures w14:val="none"/>
    </w:rPr>
  </w:style>
  <w:style w:type="paragraph" w:styleId="NormalWeb">
    <w:name w:val="Normal (Web)"/>
    <w:basedOn w:val="Normal"/>
    <w:uiPriority w:val="99"/>
    <w:unhideWhenUsed/>
    <w:rsid w:val="00FD296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FD2966"/>
    <w:rPr>
      <w:b/>
      <w:bCs/>
    </w:rPr>
  </w:style>
  <w:style w:type="paragraph" w:customStyle="1" w:styleId="isselectedend">
    <w:name w:val="isselectedend"/>
    <w:basedOn w:val="Normal"/>
    <w:rsid w:val="00A705C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Cabealho">
    <w:name w:val="header"/>
    <w:aliases w:val=" Char Char,Char Char Char,Char Char,Char,Char Char Char Char Char Char Char,Char Char Char Char, Char Char Char Char Char Char, Char Char Char Char Char, Char Char Char Char Char Char Char Char, Char Char Char Char,Char Char Char Char Char Cha"/>
    <w:basedOn w:val="Normal"/>
    <w:link w:val="CabealhoChar"/>
    <w:unhideWhenUsed/>
    <w:qFormat/>
    <w:rsid w:val="00D977A5"/>
    <w:pPr>
      <w:tabs>
        <w:tab w:val="center" w:pos="4252"/>
        <w:tab w:val="right" w:pos="8504"/>
      </w:tabs>
      <w:spacing w:after="0" w:line="240" w:lineRule="auto"/>
    </w:pPr>
  </w:style>
  <w:style w:type="character" w:customStyle="1" w:styleId="CabealhoChar">
    <w:name w:val="Cabeçalho Char"/>
    <w:aliases w:val=" Char Char Char,Char Char Char Char1,Char Char Char1,Char Char1,Char Char Char Char Char Char Char Char,Char Char Char Char Char, Char Char Char Char Char Char Char, Char Char Char Char Char Char1, Char Char Char Char Char1"/>
    <w:basedOn w:val="Fontepargpadro"/>
    <w:link w:val="Cabealho"/>
    <w:qFormat/>
    <w:rsid w:val="00D977A5"/>
  </w:style>
  <w:style w:type="paragraph" w:styleId="Rodap">
    <w:name w:val="footer"/>
    <w:basedOn w:val="Normal"/>
    <w:link w:val="RodapChar"/>
    <w:uiPriority w:val="99"/>
    <w:unhideWhenUsed/>
    <w:rsid w:val="00D977A5"/>
    <w:pPr>
      <w:tabs>
        <w:tab w:val="center" w:pos="4252"/>
        <w:tab w:val="right" w:pos="8504"/>
      </w:tabs>
      <w:spacing w:after="0" w:line="240" w:lineRule="auto"/>
    </w:pPr>
  </w:style>
  <w:style w:type="character" w:customStyle="1" w:styleId="RodapChar">
    <w:name w:val="Rodapé Char"/>
    <w:basedOn w:val="Fontepargpadro"/>
    <w:link w:val="Rodap"/>
    <w:uiPriority w:val="99"/>
    <w:rsid w:val="00D977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6648">
      <w:bodyDiv w:val="1"/>
      <w:marLeft w:val="0"/>
      <w:marRight w:val="0"/>
      <w:marTop w:val="0"/>
      <w:marBottom w:val="0"/>
      <w:divBdr>
        <w:top w:val="none" w:sz="0" w:space="0" w:color="auto"/>
        <w:left w:val="none" w:sz="0" w:space="0" w:color="auto"/>
        <w:bottom w:val="none" w:sz="0" w:space="0" w:color="auto"/>
        <w:right w:val="none" w:sz="0" w:space="0" w:color="auto"/>
      </w:divBdr>
    </w:div>
    <w:div w:id="293489902">
      <w:bodyDiv w:val="1"/>
      <w:marLeft w:val="0"/>
      <w:marRight w:val="0"/>
      <w:marTop w:val="0"/>
      <w:marBottom w:val="0"/>
      <w:divBdr>
        <w:top w:val="none" w:sz="0" w:space="0" w:color="auto"/>
        <w:left w:val="none" w:sz="0" w:space="0" w:color="auto"/>
        <w:bottom w:val="none" w:sz="0" w:space="0" w:color="auto"/>
        <w:right w:val="none" w:sz="0" w:space="0" w:color="auto"/>
      </w:divBdr>
    </w:div>
    <w:div w:id="457992720">
      <w:bodyDiv w:val="1"/>
      <w:marLeft w:val="0"/>
      <w:marRight w:val="0"/>
      <w:marTop w:val="0"/>
      <w:marBottom w:val="0"/>
      <w:divBdr>
        <w:top w:val="none" w:sz="0" w:space="0" w:color="auto"/>
        <w:left w:val="none" w:sz="0" w:space="0" w:color="auto"/>
        <w:bottom w:val="none" w:sz="0" w:space="0" w:color="auto"/>
        <w:right w:val="none" w:sz="0" w:space="0" w:color="auto"/>
      </w:divBdr>
    </w:div>
    <w:div w:id="515997069">
      <w:bodyDiv w:val="1"/>
      <w:marLeft w:val="0"/>
      <w:marRight w:val="0"/>
      <w:marTop w:val="0"/>
      <w:marBottom w:val="0"/>
      <w:divBdr>
        <w:top w:val="none" w:sz="0" w:space="0" w:color="auto"/>
        <w:left w:val="none" w:sz="0" w:space="0" w:color="auto"/>
        <w:bottom w:val="none" w:sz="0" w:space="0" w:color="auto"/>
        <w:right w:val="none" w:sz="0" w:space="0" w:color="auto"/>
      </w:divBdr>
    </w:div>
    <w:div w:id="706176771">
      <w:bodyDiv w:val="1"/>
      <w:marLeft w:val="0"/>
      <w:marRight w:val="0"/>
      <w:marTop w:val="0"/>
      <w:marBottom w:val="0"/>
      <w:divBdr>
        <w:top w:val="none" w:sz="0" w:space="0" w:color="auto"/>
        <w:left w:val="none" w:sz="0" w:space="0" w:color="auto"/>
        <w:bottom w:val="none" w:sz="0" w:space="0" w:color="auto"/>
        <w:right w:val="none" w:sz="0" w:space="0" w:color="auto"/>
      </w:divBdr>
    </w:div>
    <w:div w:id="1121652852">
      <w:bodyDiv w:val="1"/>
      <w:marLeft w:val="0"/>
      <w:marRight w:val="0"/>
      <w:marTop w:val="0"/>
      <w:marBottom w:val="0"/>
      <w:divBdr>
        <w:top w:val="none" w:sz="0" w:space="0" w:color="auto"/>
        <w:left w:val="none" w:sz="0" w:space="0" w:color="auto"/>
        <w:bottom w:val="none" w:sz="0" w:space="0" w:color="auto"/>
        <w:right w:val="none" w:sz="0" w:space="0" w:color="auto"/>
      </w:divBdr>
    </w:div>
    <w:div w:id="1125975032">
      <w:bodyDiv w:val="1"/>
      <w:marLeft w:val="0"/>
      <w:marRight w:val="0"/>
      <w:marTop w:val="0"/>
      <w:marBottom w:val="0"/>
      <w:divBdr>
        <w:top w:val="none" w:sz="0" w:space="0" w:color="auto"/>
        <w:left w:val="none" w:sz="0" w:space="0" w:color="auto"/>
        <w:bottom w:val="none" w:sz="0" w:space="0" w:color="auto"/>
        <w:right w:val="none" w:sz="0" w:space="0" w:color="auto"/>
      </w:divBdr>
    </w:div>
    <w:div w:id="1381709313">
      <w:bodyDiv w:val="1"/>
      <w:marLeft w:val="0"/>
      <w:marRight w:val="0"/>
      <w:marTop w:val="0"/>
      <w:marBottom w:val="0"/>
      <w:divBdr>
        <w:top w:val="none" w:sz="0" w:space="0" w:color="auto"/>
        <w:left w:val="none" w:sz="0" w:space="0" w:color="auto"/>
        <w:bottom w:val="none" w:sz="0" w:space="0" w:color="auto"/>
        <w:right w:val="none" w:sz="0" w:space="0" w:color="auto"/>
      </w:divBdr>
      <w:divsChild>
        <w:div w:id="1690833058">
          <w:marLeft w:val="0"/>
          <w:marRight w:val="0"/>
          <w:marTop w:val="0"/>
          <w:marBottom w:val="0"/>
          <w:divBdr>
            <w:top w:val="none" w:sz="0" w:space="0" w:color="auto"/>
            <w:left w:val="none" w:sz="0" w:space="0" w:color="auto"/>
            <w:bottom w:val="none" w:sz="0" w:space="0" w:color="auto"/>
            <w:right w:val="none" w:sz="0" w:space="0" w:color="auto"/>
          </w:divBdr>
          <w:divsChild>
            <w:div w:id="813570029">
              <w:marLeft w:val="0"/>
              <w:marRight w:val="0"/>
              <w:marTop w:val="0"/>
              <w:marBottom w:val="0"/>
              <w:divBdr>
                <w:top w:val="none" w:sz="0" w:space="0" w:color="auto"/>
                <w:left w:val="none" w:sz="0" w:space="0" w:color="auto"/>
                <w:bottom w:val="none" w:sz="0" w:space="0" w:color="auto"/>
                <w:right w:val="none" w:sz="0" w:space="0" w:color="auto"/>
              </w:divBdr>
              <w:divsChild>
                <w:div w:id="2038577464">
                  <w:marLeft w:val="0"/>
                  <w:marRight w:val="0"/>
                  <w:marTop w:val="0"/>
                  <w:marBottom w:val="0"/>
                  <w:divBdr>
                    <w:top w:val="none" w:sz="0" w:space="0" w:color="auto"/>
                    <w:left w:val="none" w:sz="0" w:space="0" w:color="auto"/>
                    <w:bottom w:val="none" w:sz="0" w:space="0" w:color="auto"/>
                    <w:right w:val="none" w:sz="0" w:space="0" w:color="auto"/>
                  </w:divBdr>
                  <w:divsChild>
                    <w:div w:id="5197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681643">
          <w:marLeft w:val="0"/>
          <w:marRight w:val="0"/>
          <w:marTop w:val="0"/>
          <w:marBottom w:val="0"/>
          <w:divBdr>
            <w:top w:val="none" w:sz="0" w:space="0" w:color="auto"/>
            <w:left w:val="none" w:sz="0" w:space="0" w:color="auto"/>
            <w:bottom w:val="none" w:sz="0" w:space="0" w:color="auto"/>
            <w:right w:val="none" w:sz="0" w:space="0" w:color="auto"/>
          </w:divBdr>
          <w:divsChild>
            <w:div w:id="74790811">
              <w:marLeft w:val="0"/>
              <w:marRight w:val="0"/>
              <w:marTop w:val="0"/>
              <w:marBottom w:val="0"/>
              <w:divBdr>
                <w:top w:val="none" w:sz="0" w:space="0" w:color="auto"/>
                <w:left w:val="none" w:sz="0" w:space="0" w:color="auto"/>
                <w:bottom w:val="none" w:sz="0" w:space="0" w:color="auto"/>
                <w:right w:val="none" w:sz="0" w:space="0" w:color="auto"/>
              </w:divBdr>
              <w:divsChild>
                <w:div w:id="494489662">
                  <w:marLeft w:val="0"/>
                  <w:marRight w:val="0"/>
                  <w:marTop w:val="0"/>
                  <w:marBottom w:val="0"/>
                  <w:divBdr>
                    <w:top w:val="none" w:sz="0" w:space="0" w:color="auto"/>
                    <w:left w:val="none" w:sz="0" w:space="0" w:color="auto"/>
                    <w:bottom w:val="none" w:sz="0" w:space="0" w:color="auto"/>
                    <w:right w:val="none" w:sz="0" w:space="0" w:color="auto"/>
                  </w:divBdr>
                  <w:divsChild>
                    <w:div w:id="1581788000">
                      <w:marLeft w:val="0"/>
                      <w:marRight w:val="0"/>
                      <w:marTop w:val="0"/>
                      <w:marBottom w:val="0"/>
                      <w:divBdr>
                        <w:top w:val="none" w:sz="0" w:space="0" w:color="auto"/>
                        <w:left w:val="none" w:sz="0" w:space="0" w:color="auto"/>
                        <w:bottom w:val="none" w:sz="0" w:space="0" w:color="auto"/>
                        <w:right w:val="none" w:sz="0" w:space="0" w:color="auto"/>
                      </w:divBdr>
                      <w:divsChild>
                        <w:div w:id="1131555969">
                          <w:marLeft w:val="0"/>
                          <w:marRight w:val="0"/>
                          <w:marTop w:val="0"/>
                          <w:marBottom w:val="0"/>
                          <w:divBdr>
                            <w:top w:val="none" w:sz="0" w:space="0" w:color="auto"/>
                            <w:left w:val="none" w:sz="0" w:space="0" w:color="auto"/>
                            <w:bottom w:val="none" w:sz="0" w:space="0" w:color="auto"/>
                            <w:right w:val="none" w:sz="0" w:space="0" w:color="auto"/>
                          </w:divBdr>
                          <w:divsChild>
                            <w:div w:id="1563835328">
                              <w:marLeft w:val="0"/>
                              <w:marRight w:val="0"/>
                              <w:marTop w:val="0"/>
                              <w:marBottom w:val="0"/>
                              <w:divBdr>
                                <w:top w:val="none" w:sz="0" w:space="0" w:color="auto"/>
                                <w:left w:val="none" w:sz="0" w:space="0" w:color="auto"/>
                                <w:bottom w:val="none" w:sz="0" w:space="0" w:color="auto"/>
                                <w:right w:val="none" w:sz="0" w:space="0" w:color="auto"/>
                              </w:divBdr>
                              <w:divsChild>
                                <w:div w:id="830175930">
                                  <w:marLeft w:val="0"/>
                                  <w:marRight w:val="0"/>
                                  <w:marTop w:val="0"/>
                                  <w:marBottom w:val="0"/>
                                  <w:divBdr>
                                    <w:top w:val="none" w:sz="0" w:space="0" w:color="auto"/>
                                    <w:left w:val="none" w:sz="0" w:space="0" w:color="auto"/>
                                    <w:bottom w:val="none" w:sz="0" w:space="0" w:color="auto"/>
                                    <w:right w:val="none" w:sz="0" w:space="0" w:color="auto"/>
                                  </w:divBdr>
                                  <w:divsChild>
                                    <w:div w:id="523908157">
                                      <w:marLeft w:val="0"/>
                                      <w:marRight w:val="0"/>
                                      <w:marTop w:val="0"/>
                                      <w:marBottom w:val="0"/>
                                      <w:divBdr>
                                        <w:top w:val="none" w:sz="0" w:space="0" w:color="auto"/>
                                        <w:left w:val="none" w:sz="0" w:space="0" w:color="auto"/>
                                        <w:bottom w:val="none" w:sz="0" w:space="0" w:color="auto"/>
                                        <w:right w:val="none" w:sz="0" w:space="0" w:color="auto"/>
                                      </w:divBdr>
                                      <w:divsChild>
                                        <w:div w:id="1239289674">
                                          <w:marLeft w:val="0"/>
                                          <w:marRight w:val="0"/>
                                          <w:marTop w:val="0"/>
                                          <w:marBottom w:val="0"/>
                                          <w:divBdr>
                                            <w:top w:val="none" w:sz="0" w:space="0" w:color="auto"/>
                                            <w:left w:val="none" w:sz="0" w:space="0" w:color="auto"/>
                                            <w:bottom w:val="none" w:sz="0" w:space="0" w:color="auto"/>
                                            <w:right w:val="none" w:sz="0" w:space="0" w:color="auto"/>
                                          </w:divBdr>
                                          <w:divsChild>
                                            <w:div w:id="1807821635">
                                              <w:marLeft w:val="0"/>
                                              <w:marRight w:val="0"/>
                                              <w:marTop w:val="0"/>
                                              <w:marBottom w:val="0"/>
                                              <w:divBdr>
                                                <w:top w:val="none" w:sz="0" w:space="0" w:color="auto"/>
                                                <w:left w:val="none" w:sz="0" w:space="0" w:color="auto"/>
                                                <w:bottom w:val="none" w:sz="0" w:space="0" w:color="auto"/>
                                                <w:right w:val="none" w:sz="0" w:space="0" w:color="auto"/>
                                              </w:divBdr>
                                              <w:divsChild>
                                                <w:div w:id="1387606219">
                                                  <w:marLeft w:val="0"/>
                                                  <w:marRight w:val="0"/>
                                                  <w:marTop w:val="0"/>
                                                  <w:marBottom w:val="0"/>
                                                  <w:divBdr>
                                                    <w:top w:val="none" w:sz="0" w:space="0" w:color="auto"/>
                                                    <w:left w:val="none" w:sz="0" w:space="0" w:color="auto"/>
                                                    <w:bottom w:val="none" w:sz="0" w:space="0" w:color="auto"/>
                                                    <w:right w:val="none" w:sz="0" w:space="0" w:color="auto"/>
                                                  </w:divBdr>
                                                  <w:divsChild>
                                                    <w:div w:id="959535336">
                                                      <w:marLeft w:val="0"/>
                                                      <w:marRight w:val="0"/>
                                                      <w:marTop w:val="0"/>
                                                      <w:marBottom w:val="0"/>
                                                      <w:divBdr>
                                                        <w:top w:val="none" w:sz="0" w:space="0" w:color="auto"/>
                                                        <w:left w:val="none" w:sz="0" w:space="0" w:color="auto"/>
                                                        <w:bottom w:val="none" w:sz="0" w:space="0" w:color="auto"/>
                                                        <w:right w:val="none" w:sz="0" w:space="0" w:color="auto"/>
                                                      </w:divBdr>
                                                      <w:divsChild>
                                                        <w:div w:id="33268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0018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1454</Words>
  <Characters>8289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Ato da PresidÃªncia - Ordenador de Despesas</dc:title>
  <dc:subject/>
  <dc:creator>JPM LICITAÇÃO</dc:creator>
  <cp:keywords/>
  <dc:description/>
  <cp:lastModifiedBy>junior pattini</cp:lastModifiedBy>
  <cp:revision>7</cp:revision>
  <cp:lastPrinted>2026-11-06T17:08:00Z</cp:lastPrinted>
  <dcterms:created xsi:type="dcterms:W3CDTF">2026-09-21T17:46:00Z</dcterms:created>
  <dcterms:modified xsi:type="dcterms:W3CDTF">2026-11-06T17:13:00Z</dcterms:modified>
</cp:coreProperties>
</file>